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资格承诺函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致：肇庆市鼎湖区人民法院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在充分理解并响应贵院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《网络安全等保二级测评项目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28"/>
          <w:szCs w:val="28"/>
        </w:rPr>
        <w:t>公开询价公告的基础上，我单位（供应商名称：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）郑重承诺：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我单位具有良好的商业信誉，并已建立健全的财务会计制度，能够依法履行纳税人义务，并按规定为员工缴纳社会保险资金，财务状况良好，具备履行本项目合同的能力。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我单位拥有履行本项目合同所必需的专业技术团队、维修保养设备、清洁工具及车辆等专业技术能力，能够确保按照合同约定及贵院要求完成所有服务内容。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我单位在参加本次采购活动前三年内，在经营活动中没有因违法经营受到刑事处罚或者责令停产停业、吊销许可证或者执照、较大数额罚款等重大违法记录。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我单位及法定代表人、拟投入本项目的主要负责人在此期间内亦无行贿犯罪记录。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对上述承诺内容的真实性负责。我方理解，如被确认为成交候选或成交供应商，贵院有权对我单位的承诺事项进行核查。若在上述任何一项承诺中被发现存在虚假或隐瞒情况，我单位自愿承担所有后果，包括但不限于报价被作无效处理、取消成交资格、列入不良行为记录名单等，并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供应商名称（公章）：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统一社会信用代码：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法定代表人（签字或盖章）：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>
      <w:pPr>
        <w:rPr>
          <w:rFonts w:hint="eastAsia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9241D"/>
    <w:rsid w:val="09043963"/>
    <w:rsid w:val="0B2A2750"/>
    <w:rsid w:val="0E8721D6"/>
    <w:rsid w:val="0EAE1A39"/>
    <w:rsid w:val="54CD6794"/>
    <w:rsid w:val="7729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区法院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2025-10-14T09:08:00Z</dcterms:created>
  <dc:creator>Administrator</dc:creator>
  <cp:lastModifiedBy>Administrator</cp:lastModifiedBy>
  <dcterms:modified xsi:type="dcterms:W3CDTF">2026-03-26T00:47:34Z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